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409D" w:rsidRPr="004F38AF" w:rsidRDefault="006A409D" w:rsidP="006A409D">
      <w:pPr>
        <w:spacing w:line="480" w:lineRule="auto"/>
        <w:ind w:firstLine="720"/>
        <w:rPr>
          <w:rFonts w:ascii="Times New Roman" w:hAnsi="Times New Roman" w:cs="Times New Roman"/>
          <w:b/>
          <w:sz w:val="24"/>
          <w:szCs w:val="24"/>
        </w:rPr>
      </w:pPr>
    </w:p>
    <w:p w:rsidR="006A409D" w:rsidRPr="004F38AF" w:rsidRDefault="006A409D" w:rsidP="006A409D">
      <w:pPr>
        <w:spacing w:line="480" w:lineRule="auto"/>
        <w:rPr>
          <w:rFonts w:ascii="Times New Roman" w:hAnsi="Times New Roman" w:cs="Times New Roman"/>
          <w:b/>
          <w:sz w:val="24"/>
          <w:szCs w:val="24"/>
        </w:rPr>
      </w:pPr>
    </w:p>
    <w:p w:rsidR="006A409D" w:rsidRPr="004F38AF" w:rsidRDefault="006A409D" w:rsidP="006A409D">
      <w:pPr>
        <w:spacing w:line="480" w:lineRule="auto"/>
        <w:ind w:firstLine="720"/>
        <w:rPr>
          <w:rFonts w:ascii="Times New Roman" w:hAnsi="Times New Roman" w:cs="Times New Roman"/>
          <w:b/>
          <w:sz w:val="24"/>
          <w:szCs w:val="24"/>
        </w:rPr>
      </w:pPr>
    </w:p>
    <w:p w:rsidR="006A409D" w:rsidRPr="004F38AF" w:rsidRDefault="006A409D" w:rsidP="006A409D">
      <w:pPr>
        <w:spacing w:line="480" w:lineRule="auto"/>
        <w:ind w:firstLine="720"/>
        <w:rPr>
          <w:rFonts w:ascii="Times New Roman" w:hAnsi="Times New Roman" w:cs="Times New Roman"/>
          <w:b/>
          <w:sz w:val="24"/>
          <w:szCs w:val="24"/>
        </w:rPr>
      </w:pPr>
    </w:p>
    <w:p w:rsidR="006A409D" w:rsidRPr="004F38AF" w:rsidRDefault="006A409D" w:rsidP="006A409D">
      <w:pPr>
        <w:spacing w:line="480" w:lineRule="auto"/>
        <w:ind w:firstLine="720"/>
        <w:rPr>
          <w:rFonts w:ascii="Times New Roman" w:hAnsi="Times New Roman" w:cs="Times New Roman"/>
          <w:b/>
          <w:sz w:val="24"/>
          <w:szCs w:val="24"/>
        </w:rPr>
      </w:pPr>
    </w:p>
    <w:p w:rsidR="006A409D" w:rsidRPr="004F38AF" w:rsidRDefault="006A409D" w:rsidP="006A409D">
      <w:pPr>
        <w:spacing w:line="480" w:lineRule="auto"/>
        <w:ind w:firstLine="720"/>
        <w:jc w:val="center"/>
        <w:rPr>
          <w:rFonts w:ascii="Times New Roman" w:hAnsi="Times New Roman" w:cs="Times New Roman"/>
          <w:sz w:val="24"/>
          <w:szCs w:val="24"/>
        </w:rPr>
      </w:pPr>
      <w:r w:rsidRPr="004F38AF">
        <w:rPr>
          <w:rFonts w:ascii="Times New Roman" w:hAnsi="Times New Roman" w:cs="Times New Roman"/>
          <w:sz w:val="24"/>
          <w:szCs w:val="24"/>
        </w:rPr>
        <w:t>Public Administration</w:t>
      </w:r>
    </w:p>
    <w:p w:rsidR="006A409D" w:rsidRPr="004F38AF" w:rsidRDefault="006A409D" w:rsidP="006A409D">
      <w:pPr>
        <w:spacing w:line="480" w:lineRule="auto"/>
        <w:ind w:firstLine="720"/>
        <w:jc w:val="center"/>
        <w:rPr>
          <w:rFonts w:ascii="Times New Roman" w:hAnsi="Times New Roman" w:cs="Times New Roman"/>
          <w:sz w:val="24"/>
          <w:szCs w:val="24"/>
        </w:rPr>
      </w:pPr>
      <w:r w:rsidRPr="004F38AF">
        <w:rPr>
          <w:rFonts w:ascii="Times New Roman" w:hAnsi="Times New Roman" w:cs="Times New Roman"/>
          <w:sz w:val="24"/>
          <w:szCs w:val="24"/>
        </w:rPr>
        <w:t>Student’s Name</w:t>
      </w:r>
    </w:p>
    <w:p w:rsidR="006A409D" w:rsidRPr="004F38AF" w:rsidRDefault="006A409D" w:rsidP="006A409D">
      <w:pPr>
        <w:spacing w:line="480" w:lineRule="auto"/>
        <w:ind w:firstLine="720"/>
        <w:jc w:val="center"/>
        <w:rPr>
          <w:rFonts w:ascii="Times New Roman" w:hAnsi="Times New Roman" w:cs="Times New Roman"/>
          <w:sz w:val="24"/>
          <w:szCs w:val="24"/>
        </w:rPr>
      </w:pPr>
      <w:r w:rsidRPr="004F38AF">
        <w:rPr>
          <w:rFonts w:ascii="Times New Roman" w:hAnsi="Times New Roman" w:cs="Times New Roman"/>
          <w:sz w:val="24"/>
          <w:szCs w:val="24"/>
        </w:rPr>
        <w:t>Institutional Affiliation</w:t>
      </w:r>
    </w:p>
    <w:p w:rsidR="006A409D" w:rsidRPr="004F38AF" w:rsidRDefault="006A409D" w:rsidP="006A409D">
      <w:pPr>
        <w:spacing w:line="480" w:lineRule="auto"/>
        <w:ind w:firstLine="720"/>
        <w:jc w:val="center"/>
        <w:rPr>
          <w:rFonts w:ascii="Times New Roman" w:hAnsi="Times New Roman" w:cs="Times New Roman"/>
          <w:sz w:val="24"/>
          <w:szCs w:val="24"/>
        </w:rPr>
      </w:pPr>
      <w:r w:rsidRPr="004F38AF">
        <w:rPr>
          <w:rFonts w:ascii="Times New Roman" w:hAnsi="Times New Roman" w:cs="Times New Roman"/>
          <w:sz w:val="24"/>
          <w:szCs w:val="24"/>
        </w:rPr>
        <w:t>Date</w:t>
      </w:r>
    </w:p>
    <w:p w:rsidR="006A409D" w:rsidRPr="004F38AF" w:rsidRDefault="006A409D" w:rsidP="006A409D">
      <w:pPr>
        <w:spacing w:line="480" w:lineRule="auto"/>
        <w:ind w:firstLine="720"/>
        <w:rPr>
          <w:rFonts w:ascii="Times New Roman" w:hAnsi="Times New Roman" w:cs="Times New Roman"/>
          <w:b/>
          <w:sz w:val="24"/>
          <w:szCs w:val="24"/>
        </w:rPr>
      </w:pPr>
    </w:p>
    <w:p w:rsidR="006A409D" w:rsidRPr="004F38AF" w:rsidRDefault="006A409D" w:rsidP="006A409D">
      <w:pPr>
        <w:spacing w:line="480" w:lineRule="auto"/>
        <w:ind w:firstLine="720"/>
        <w:rPr>
          <w:rFonts w:ascii="Times New Roman" w:hAnsi="Times New Roman" w:cs="Times New Roman"/>
          <w:b/>
          <w:sz w:val="24"/>
          <w:szCs w:val="24"/>
        </w:rPr>
      </w:pPr>
    </w:p>
    <w:p w:rsidR="006A409D" w:rsidRPr="004F38AF" w:rsidRDefault="006A409D" w:rsidP="006A409D">
      <w:pPr>
        <w:spacing w:line="480" w:lineRule="auto"/>
        <w:ind w:firstLine="720"/>
        <w:rPr>
          <w:rFonts w:ascii="Times New Roman" w:hAnsi="Times New Roman" w:cs="Times New Roman"/>
          <w:b/>
          <w:sz w:val="24"/>
          <w:szCs w:val="24"/>
        </w:rPr>
      </w:pPr>
    </w:p>
    <w:p w:rsidR="006A409D" w:rsidRPr="004F38AF" w:rsidRDefault="006A409D" w:rsidP="006A409D">
      <w:pPr>
        <w:spacing w:line="480" w:lineRule="auto"/>
        <w:ind w:firstLine="720"/>
        <w:rPr>
          <w:rFonts w:ascii="Times New Roman" w:hAnsi="Times New Roman" w:cs="Times New Roman"/>
          <w:b/>
          <w:sz w:val="24"/>
          <w:szCs w:val="24"/>
        </w:rPr>
      </w:pPr>
    </w:p>
    <w:p w:rsidR="006A409D" w:rsidRPr="004F38AF" w:rsidRDefault="006A409D" w:rsidP="006A409D">
      <w:pPr>
        <w:spacing w:line="480" w:lineRule="auto"/>
        <w:ind w:firstLine="720"/>
        <w:rPr>
          <w:rFonts w:ascii="Times New Roman" w:hAnsi="Times New Roman" w:cs="Times New Roman"/>
          <w:b/>
          <w:sz w:val="24"/>
          <w:szCs w:val="24"/>
        </w:rPr>
      </w:pPr>
    </w:p>
    <w:p w:rsidR="006A409D" w:rsidRPr="004F38AF" w:rsidRDefault="006A409D" w:rsidP="006A409D">
      <w:pPr>
        <w:spacing w:line="480" w:lineRule="auto"/>
        <w:ind w:firstLine="720"/>
        <w:rPr>
          <w:rFonts w:ascii="Times New Roman" w:hAnsi="Times New Roman" w:cs="Times New Roman"/>
          <w:b/>
          <w:sz w:val="24"/>
          <w:szCs w:val="24"/>
        </w:rPr>
      </w:pPr>
    </w:p>
    <w:p w:rsidR="006A409D" w:rsidRPr="004F38AF" w:rsidRDefault="006A409D" w:rsidP="006A409D">
      <w:pPr>
        <w:spacing w:line="480" w:lineRule="auto"/>
        <w:ind w:firstLine="720"/>
        <w:rPr>
          <w:rFonts w:ascii="Times New Roman" w:hAnsi="Times New Roman" w:cs="Times New Roman"/>
          <w:b/>
          <w:sz w:val="24"/>
          <w:szCs w:val="24"/>
        </w:rPr>
      </w:pPr>
    </w:p>
    <w:p w:rsidR="006A409D" w:rsidRPr="004F38AF" w:rsidRDefault="006A409D" w:rsidP="006A409D">
      <w:pPr>
        <w:spacing w:line="480" w:lineRule="auto"/>
        <w:ind w:firstLine="720"/>
        <w:rPr>
          <w:rFonts w:ascii="Times New Roman" w:hAnsi="Times New Roman" w:cs="Times New Roman"/>
          <w:b/>
          <w:sz w:val="24"/>
          <w:szCs w:val="24"/>
        </w:rPr>
      </w:pPr>
    </w:p>
    <w:p w:rsidR="006A409D" w:rsidRPr="004F38AF" w:rsidRDefault="006A409D" w:rsidP="006A409D">
      <w:pPr>
        <w:spacing w:line="480" w:lineRule="auto"/>
        <w:ind w:firstLine="720"/>
        <w:rPr>
          <w:rFonts w:ascii="Times New Roman" w:hAnsi="Times New Roman" w:cs="Times New Roman"/>
          <w:b/>
          <w:sz w:val="24"/>
          <w:szCs w:val="24"/>
        </w:rPr>
      </w:pPr>
    </w:p>
    <w:p w:rsidR="008E5DFF" w:rsidRPr="004F38AF" w:rsidRDefault="008E5DFF" w:rsidP="006A409D">
      <w:pPr>
        <w:spacing w:line="480" w:lineRule="auto"/>
        <w:ind w:firstLine="720"/>
        <w:jc w:val="center"/>
        <w:rPr>
          <w:rFonts w:ascii="Times New Roman" w:hAnsi="Times New Roman" w:cs="Times New Roman"/>
          <w:b/>
          <w:sz w:val="24"/>
          <w:szCs w:val="24"/>
        </w:rPr>
      </w:pPr>
      <w:r w:rsidRPr="004F38AF">
        <w:rPr>
          <w:rFonts w:ascii="Times New Roman" w:hAnsi="Times New Roman" w:cs="Times New Roman"/>
          <w:b/>
          <w:sz w:val="24"/>
          <w:szCs w:val="24"/>
        </w:rPr>
        <w:t>Discussion 2</w:t>
      </w:r>
    </w:p>
    <w:p w:rsidR="008E5DFF" w:rsidRPr="004F38AF" w:rsidRDefault="008E5DFF" w:rsidP="006A409D">
      <w:pPr>
        <w:spacing w:line="480" w:lineRule="auto"/>
        <w:ind w:firstLine="720"/>
        <w:rPr>
          <w:rFonts w:ascii="Times New Roman" w:hAnsi="Times New Roman" w:cs="Times New Roman"/>
          <w:sz w:val="24"/>
          <w:szCs w:val="24"/>
        </w:rPr>
      </w:pPr>
      <w:r w:rsidRPr="004F38AF">
        <w:rPr>
          <w:rFonts w:ascii="Times New Roman" w:hAnsi="Times New Roman" w:cs="Times New Roman"/>
          <w:sz w:val="24"/>
          <w:szCs w:val="24"/>
        </w:rPr>
        <w:t>Social and economic factors list as two prominent examples of category factors that affected the content and development process of the constitution. Economic factors focused on the financial stability of the different states. The desire to have the central government in a sound financial basis is an economic factor that content of the US constitution. The pressure from the government to offer protection for the security holders meant that the constitution had to address the issue of money. The empire was in a struggle for money which forced the US constitution to address the issue as it naturally affected people of a specific financial class. The social factors that affected the content and development of the constitution include demand for the human right protection</w:t>
      </w:r>
      <w:r w:rsidR="006A409D" w:rsidRPr="004F38AF">
        <w:rPr>
          <w:rFonts w:ascii="Times New Roman" w:hAnsi="Times New Roman" w:cs="Times New Roman"/>
          <w:sz w:val="24"/>
          <w:szCs w:val="24"/>
        </w:rPr>
        <w:t xml:space="preserve"> </w:t>
      </w:r>
      <w:r w:rsidR="006A409D" w:rsidRPr="004F38AF">
        <w:rPr>
          <w:rFonts w:ascii="Times New Roman" w:hAnsi="Times New Roman" w:cs="Times New Roman"/>
          <w:sz w:val="24"/>
          <w:szCs w:val="24"/>
        </w:rPr>
        <w:t>(</w:t>
      </w:r>
      <w:r w:rsidR="006A409D" w:rsidRPr="004F38AF">
        <w:rPr>
          <w:rFonts w:ascii="Times New Roman" w:hAnsi="Times New Roman" w:cs="Times New Roman"/>
          <w:sz w:val="24"/>
          <w:szCs w:val="24"/>
          <w:shd w:val="clear" w:color="auto" w:fill="FFFFFF"/>
        </w:rPr>
        <w:t xml:space="preserve">Shafritz, Russell, &amp; Borick, </w:t>
      </w:r>
      <w:r w:rsidR="006A409D" w:rsidRPr="004F38AF">
        <w:rPr>
          <w:rFonts w:ascii="Times New Roman" w:hAnsi="Times New Roman" w:cs="Times New Roman"/>
          <w:sz w:val="24"/>
          <w:szCs w:val="24"/>
        </w:rPr>
        <w:t>2015</w:t>
      </w:r>
      <w:r w:rsidR="004F38AF" w:rsidRPr="004F38AF">
        <w:rPr>
          <w:rFonts w:ascii="Times New Roman" w:hAnsi="Times New Roman" w:cs="Times New Roman"/>
          <w:sz w:val="24"/>
          <w:szCs w:val="24"/>
        </w:rPr>
        <w:t>)</w:t>
      </w:r>
      <w:r w:rsidRPr="004F38AF">
        <w:rPr>
          <w:rFonts w:ascii="Times New Roman" w:hAnsi="Times New Roman" w:cs="Times New Roman"/>
          <w:sz w:val="24"/>
          <w:szCs w:val="24"/>
        </w:rPr>
        <w:t>. For instance, the US constitution was modified to curb slavery and have equal human rights which applies up to date. The discussed social and economic factors affect public administration in the contemporary US.  The high demand for finances to aid in the implementation of technological developments in society affects public administration. The fight for human rights impacts the set of laws and projects set up by the public administration in the United States. Public administration borrows concepts from the social, political and economic studies of the constitution.</w:t>
      </w:r>
    </w:p>
    <w:p w:rsidR="008E5DFF" w:rsidRPr="004F38AF" w:rsidRDefault="008E5DFF" w:rsidP="006A409D">
      <w:pPr>
        <w:spacing w:line="480" w:lineRule="auto"/>
        <w:ind w:firstLine="720"/>
        <w:jc w:val="center"/>
        <w:rPr>
          <w:rFonts w:ascii="Times New Roman" w:hAnsi="Times New Roman" w:cs="Times New Roman"/>
          <w:b/>
          <w:sz w:val="24"/>
          <w:szCs w:val="24"/>
        </w:rPr>
      </w:pPr>
      <w:r w:rsidRPr="004F38AF">
        <w:rPr>
          <w:rFonts w:ascii="Times New Roman" w:hAnsi="Times New Roman" w:cs="Times New Roman"/>
          <w:b/>
          <w:sz w:val="24"/>
          <w:szCs w:val="24"/>
        </w:rPr>
        <w:t>Discussion 4</w:t>
      </w:r>
    </w:p>
    <w:p w:rsidR="008E5DFF" w:rsidRPr="004F38AF" w:rsidRDefault="008E5DFF" w:rsidP="006A409D">
      <w:pPr>
        <w:spacing w:line="480" w:lineRule="auto"/>
        <w:ind w:firstLine="720"/>
        <w:rPr>
          <w:rFonts w:ascii="Times New Roman" w:hAnsi="Times New Roman" w:cs="Times New Roman"/>
          <w:sz w:val="24"/>
          <w:szCs w:val="24"/>
        </w:rPr>
      </w:pPr>
      <w:r w:rsidRPr="004F38AF">
        <w:rPr>
          <w:rFonts w:ascii="Times New Roman" w:hAnsi="Times New Roman" w:cs="Times New Roman"/>
          <w:sz w:val="24"/>
          <w:szCs w:val="24"/>
        </w:rPr>
        <w:t xml:space="preserve">The organizational perspective that might have changed the outcome in Abu Ghraib is the command for unity. Unity as an administrative value could change the level of violation as soldiers would collectively fight back the commands from Bush administration. The prison organizations could collaboratively come up with regulations that protect the rights of prisoners to change the outcome. The individual perspective would be a change in personal attitude for the soldiers and prison supervisors to practice morality. The soldiers and supervisors could change the attitude to </w:t>
      </w:r>
      <w:r w:rsidR="006A409D" w:rsidRPr="004F38AF">
        <w:rPr>
          <w:rFonts w:ascii="Times New Roman" w:hAnsi="Times New Roman" w:cs="Times New Roman"/>
          <w:sz w:val="24"/>
          <w:szCs w:val="24"/>
        </w:rPr>
        <w:t>instill</w:t>
      </w:r>
      <w:r w:rsidRPr="004F38AF">
        <w:rPr>
          <w:rFonts w:ascii="Times New Roman" w:hAnsi="Times New Roman" w:cs="Times New Roman"/>
          <w:sz w:val="24"/>
          <w:szCs w:val="24"/>
        </w:rPr>
        <w:t xml:space="preserve"> morally and humanly right actions in the prisons. The policy perspective would focus on changing the rules and commands in the prisons and Bush administration. The new policies could focus on protecting the rights of prisoners and overall curb mistreatment. Opposition from political administration is the possible challenge that is likely to affect the implementation process</w:t>
      </w:r>
      <w:r w:rsidR="004F38AF" w:rsidRPr="004F38AF">
        <w:rPr>
          <w:rFonts w:ascii="Times New Roman" w:hAnsi="Times New Roman" w:cs="Times New Roman"/>
          <w:sz w:val="24"/>
          <w:szCs w:val="24"/>
        </w:rPr>
        <w:t xml:space="preserve"> (Adams, Balfour,</w:t>
      </w:r>
      <w:r w:rsidR="004F38AF" w:rsidRPr="004F38AF">
        <w:rPr>
          <w:rFonts w:ascii="Times New Roman" w:hAnsi="Times New Roman" w:cs="Times New Roman"/>
          <w:sz w:val="24"/>
          <w:szCs w:val="24"/>
        </w:rPr>
        <w:t xml:space="preserve"> &amp; Reed</w:t>
      </w:r>
      <w:r w:rsidR="004F38AF" w:rsidRPr="004F38AF">
        <w:rPr>
          <w:rFonts w:ascii="Times New Roman" w:hAnsi="Times New Roman" w:cs="Times New Roman"/>
          <w:sz w:val="24"/>
          <w:szCs w:val="24"/>
        </w:rPr>
        <w:t>, 2006)</w:t>
      </w:r>
      <w:r w:rsidR="006A409D" w:rsidRPr="004F38AF">
        <w:rPr>
          <w:rFonts w:ascii="Times New Roman" w:hAnsi="Times New Roman" w:cs="Times New Roman"/>
          <w:sz w:val="24"/>
          <w:szCs w:val="24"/>
        </w:rPr>
        <w:t>.</w:t>
      </w:r>
      <w:r w:rsidRPr="004F38AF">
        <w:rPr>
          <w:rFonts w:ascii="Times New Roman" w:hAnsi="Times New Roman" w:cs="Times New Roman"/>
          <w:sz w:val="24"/>
          <w:szCs w:val="24"/>
        </w:rPr>
        <w:t xml:space="preserve"> Most of the political policies lack directives that protect the rights of prisoners and tend to slow back such initiatives. For instance, the country considers prisoners to deserve harsh physical processes as a corrective measure which makes it difficult to change personal attitudes among soldiers and supervisors.</w:t>
      </w:r>
    </w:p>
    <w:p w:rsidR="008E5DFF" w:rsidRPr="004F38AF" w:rsidRDefault="008E5DFF" w:rsidP="006A409D">
      <w:pPr>
        <w:spacing w:line="480" w:lineRule="auto"/>
        <w:ind w:firstLine="720"/>
        <w:jc w:val="center"/>
        <w:rPr>
          <w:rFonts w:ascii="Times New Roman" w:hAnsi="Times New Roman" w:cs="Times New Roman"/>
          <w:b/>
          <w:sz w:val="24"/>
          <w:szCs w:val="24"/>
        </w:rPr>
      </w:pPr>
      <w:r w:rsidRPr="004F38AF">
        <w:rPr>
          <w:rFonts w:ascii="Times New Roman" w:hAnsi="Times New Roman" w:cs="Times New Roman"/>
          <w:b/>
          <w:sz w:val="24"/>
          <w:szCs w:val="24"/>
        </w:rPr>
        <w:t>Discussion 8</w:t>
      </w:r>
    </w:p>
    <w:p w:rsidR="008E5DFF" w:rsidRPr="004F38AF" w:rsidRDefault="008E5DFF" w:rsidP="006A409D">
      <w:pPr>
        <w:spacing w:line="480" w:lineRule="auto"/>
        <w:ind w:firstLine="720"/>
        <w:rPr>
          <w:rFonts w:ascii="Times New Roman" w:hAnsi="Times New Roman" w:cs="Times New Roman"/>
          <w:sz w:val="24"/>
          <w:szCs w:val="24"/>
        </w:rPr>
      </w:pPr>
      <w:r w:rsidRPr="004F38AF">
        <w:rPr>
          <w:rFonts w:ascii="Times New Roman" w:hAnsi="Times New Roman" w:cs="Times New Roman"/>
          <w:sz w:val="24"/>
          <w:szCs w:val="24"/>
        </w:rPr>
        <w:t>Citizen engagement in the World Bank Group is an example that focuses on involving the people give opinions on how to make public decisions. The article titled "Citizen Engagement" by World Bank Group outlines how citizens, through operational feedback, engage in the decision-making process. WBG is a listening public institution that involves citizens and external parties to change and modify the current policies.  The citizens; beneficiaries addressed the issue of financial disbursement from the World Bank to solve the issue of poverty. The role of the engagement is to help the public organization in making decisions regarding financial investments and disbursement. The policies and strategic plans made by WBG significantly depend on the feedback provided by the citizens</w:t>
      </w:r>
      <w:r w:rsidR="004F38AF" w:rsidRPr="004F38AF">
        <w:rPr>
          <w:rFonts w:ascii="Times New Roman" w:hAnsi="Times New Roman" w:cs="Times New Roman"/>
          <w:sz w:val="24"/>
          <w:szCs w:val="24"/>
        </w:rPr>
        <w:t xml:space="preserve"> (</w:t>
      </w:r>
      <w:r w:rsidR="004F38AF" w:rsidRPr="004F38AF">
        <w:rPr>
          <w:rFonts w:ascii="Times New Roman" w:hAnsi="Times New Roman" w:cs="Times New Roman"/>
          <w:sz w:val="24"/>
          <w:szCs w:val="24"/>
          <w:shd w:val="clear" w:color="auto" w:fill="FFFFFF"/>
        </w:rPr>
        <w:t>Manroth</w:t>
      </w:r>
      <w:r w:rsidR="004F38AF" w:rsidRPr="004F38AF">
        <w:rPr>
          <w:rFonts w:ascii="Times New Roman" w:hAnsi="Times New Roman" w:cs="Times New Roman"/>
          <w:sz w:val="24"/>
          <w:szCs w:val="24"/>
          <w:shd w:val="clear" w:color="auto" w:fill="FFFFFF"/>
        </w:rPr>
        <w:t xml:space="preserve"> et al, 2014)</w:t>
      </w:r>
      <w:r w:rsidRPr="004F38AF">
        <w:rPr>
          <w:rFonts w:ascii="Times New Roman" w:hAnsi="Times New Roman" w:cs="Times New Roman"/>
          <w:sz w:val="24"/>
          <w:szCs w:val="24"/>
        </w:rPr>
        <w:t xml:space="preserve">. The citizens affected the beneficiary collaboration and consultation outcomes in the public administration and policies of WBG. The policymakers in WBG as a public organization use the feedback to change regulations regarding financial disbursement to the beneficiaries. </w:t>
      </w:r>
    </w:p>
    <w:p w:rsidR="006A409D" w:rsidRPr="004F38AF" w:rsidRDefault="006A409D" w:rsidP="006A409D">
      <w:pPr>
        <w:spacing w:line="480" w:lineRule="auto"/>
        <w:rPr>
          <w:rFonts w:ascii="Times New Roman" w:hAnsi="Times New Roman" w:cs="Times New Roman"/>
          <w:sz w:val="24"/>
          <w:szCs w:val="24"/>
        </w:rPr>
      </w:pPr>
    </w:p>
    <w:p w:rsidR="006A409D" w:rsidRPr="004F38AF" w:rsidRDefault="006A409D" w:rsidP="004F38AF">
      <w:pPr>
        <w:spacing w:line="480" w:lineRule="auto"/>
        <w:ind w:firstLine="720"/>
        <w:jc w:val="center"/>
        <w:rPr>
          <w:rFonts w:ascii="Times New Roman" w:hAnsi="Times New Roman" w:cs="Times New Roman"/>
          <w:sz w:val="24"/>
          <w:szCs w:val="24"/>
        </w:rPr>
      </w:pPr>
      <w:r w:rsidRPr="004F38AF">
        <w:rPr>
          <w:rFonts w:ascii="Times New Roman" w:hAnsi="Times New Roman" w:cs="Times New Roman"/>
          <w:sz w:val="24"/>
          <w:szCs w:val="24"/>
        </w:rPr>
        <w:t>References</w:t>
      </w:r>
    </w:p>
    <w:p w:rsidR="004F38AF" w:rsidRPr="004F38AF" w:rsidRDefault="004F38AF" w:rsidP="004F38AF">
      <w:pPr>
        <w:spacing w:after="100" w:afterAutospacing="1" w:line="480" w:lineRule="auto"/>
        <w:ind w:left="720" w:hanging="720"/>
        <w:rPr>
          <w:rFonts w:ascii="Times New Roman" w:hAnsi="Times New Roman" w:cs="Times New Roman"/>
          <w:b/>
          <w:i/>
          <w:sz w:val="24"/>
          <w:szCs w:val="24"/>
          <w:u w:val="single"/>
        </w:rPr>
      </w:pPr>
      <w:r>
        <w:rPr>
          <w:rFonts w:ascii="Times New Roman" w:hAnsi="Times New Roman" w:cs="Times New Roman"/>
          <w:sz w:val="24"/>
          <w:szCs w:val="24"/>
        </w:rPr>
        <w:t xml:space="preserve"> </w:t>
      </w:r>
      <w:bookmarkStart w:id="0" w:name="_GoBack"/>
      <w:bookmarkEnd w:id="0"/>
      <w:r w:rsidRPr="004F38AF">
        <w:rPr>
          <w:rFonts w:ascii="Times New Roman" w:hAnsi="Times New Roman" w:cs="Times New Roman"/>
          <w:sz w:val="24"/>
          <w:szCs w:val="24"/>
        </w:rPr>
        <w:t>Adams, G. B., Balfour, D. L., &amp; Reed, G. E. (2006). Abu Ghraib, administrative evil, and moral inversion: The value of “putting cruelty first.” </w:t>
      </w:r>
      <w:r w:rsidRPr="004F38AF">
        <w:rPr>
          <w:rStyle w:val="Emphasis"/>
          <w:rFonts w:ascii="Times New Roman" w:hAnsi="Times New Roman" w:cs="Times New Roman"/>
          <w:sz w:val="24"/>
          <w:szCs w:val="24"/>
        </w:rPr>
        <w:t>Public Administration Review</w:t>
      </w:r>
      <w:r w:rsidRPr="004F38AF">
        <w:rPr>
          <w:rFonts w:ascii="Times New Roman" w:hAnsi="Times New Roman" w:cs="Times New Roman"/>
          <w:sz w:val="24"/>
          <w:szCs w:val="24"/>
        </w:rPr>
        <w:t>, </w:t>
      </w:r>
      <w:r w:rsidRPr="004F38AF">
        <w:rPr>
          <w:rStyle w:val="Emphasis"/>
          <w:rFonts w:ascii="Times New Roman" w:hAnsi="Times New Roman" w:cs="Times New Roman"/>
          <w:sz w:val="24"/>
          <w:szCs w:val="24"/>
        </w:rPr>
        <w:t>66</w:t>
      </w:r>
      <w:r w:rsidRPr="004F38AF">
        <w:rPr>
          <w:rFonts w:ascii="Times New Roman" w:hAnsi="Times New Roman" w:cs="Times New Roman"/>
          <w:sz w:val="24"/>
          <w:szCs w:val="24"/>
        </w:rPr>
        <w:t>(5), 680–693.</w:t>
      </w:r>
      <w:r w:rsidRPr="004F38AF">
        <w:rPr>
          <w:rFonts w:ascii="Times New Roman" w:hAnsi="Times New Roman" w:cs="Times New Roman"/>
          <w:sz w:val="24"/>
          <w:szCs w:val="24"/>
        </w:rPr>
        <w:br/>
        <w:t>Retrieved from the Walden Library databases.</w:t>
      </w:r>
    </w:p>
    <w:p w:rsidR="004F38AF" w:rsidRPr="004F38AF" w:rsidRDefault="004F38AF" w:rsidP="004F38AF">
      <w:pPr>
        <w:spacing w:after="100" w:afterAutospacing="1" w:line="480" w:lineRule="auto"/>
        <w:ind w:left="720" w:hanging="720"/>
        <w:rPr>
          <w:rFonts w:ascii="Times New Roman" w:hAnsi="Times New Roman" w:cs="Times New Roman"/>
          <w:sz w:val="24"/>
          <w:szCs w:val="24"/>
          <w:shd w:val="clear" w:color="auto" w:fill="FFFFFF"/>
        </w:rPr>
      </w:pPr>
      <w:r w:rsidRPr="004F38AF">
        <w:rPr>
          <w:rFonts w:ascii="Times New Roman" w:hAnsi="Times New Roman" w:cs="Times New Roman"/>
          <w:sz w:val="24"/>
          <w:szCs w:val="24"/>
          <w:shd w:val="clear" w:color="auto" w:fill="FFFFFF"/>
        </w:rPr>
        <w:t>Manroth, A., Hernandez, Z., Masud, H., Zakhour, J., Reb</w:t>
      </w:r>
      <w:r w:rsidRPr="004F38AF">
        <w:rPr>
          <w:rFonts w:ascii="Times New Roman" w:hAnsi="Times New Roman" w:cs="Times New Roman"/>
          <w:sz w:val="24"/>
          <w:szCs w:val="24"/>
          <w:shd w:val="clear" w:color="auto" w:fill="FFFFFF"/>
        </w:rPr>
        <w:t xml:space="preserve">olledo, M., Mahmood, S. A., </w:t>
      </w:r>
      <w:r w:rsidRPr="004F38AF">
        <w:rPr>
          <w:rFonts w:ascii="Times New Roman" w:hAnsi="Times New Roman" w:cs="Times New Roman"/>
          <w:sz w:val="24"/>
          <w:szCs w:val="24"/>
          <w:shd w:val="clear" w:color="auto" w:fill="FFFFFF"/>
        </w:rPr>
        <w:t>&amp; Peixoto, T. (2014). Strategic framework for mainstreaming citizen engagement in World Bank Group operations: engaging with citizens for improved results. </w:t>
      </w:r>
      <w:r w:rsidRPr="004F38AF">
        <w:rPr>
          <w:rFonts w:ascii="Times New Roman" w:hAnsi="Times New Roman" w:cs="Times New Roman"/>
          <w:i/>
          <w:iCs/>
          <w:sz w:val="24"/>
          <w:szCs w:val="24"/>
          <w:shd w:val="clear" w:color="auto" w:fill="FFFFFF"/>
        </w:rPr>
        <w:t>Washington, DC: World Bank Group. Retrieved June</w:t>
      </w:r>
      <w:r w:rsidRPr="004F38AF">
        <w:rPr>
          <w:rFonts w:ascii="Times New Roman" w:hAnsi="Times New Roman" w:cs="Times New Roman"/>
          <w:sz w:val="24"/>
          <w:szCs w:val="24"/>
          <w:shd w:val="clear" w:color="auto" w:fill="FFFFFF"/>
        </w:rPr>
        <w:t>, </w:t>
      </w:r>
      <w:r w:rsidRPr="004F38AF">
        <w:rPr>
          <w:rFonts w:ascii="Times New Roman" w:hAnsi="Times New Roman" w:cs="Times New Roman"/>
          <w:i/>
          <w:iCs/>
          <w:sz w:val="24"/>
          <w:szCs w:val="24"/>
          <w:shd w:val="clear" w:color="auto" w:fill="FFFFFF"/>
        </w:rPr>
        <w:t>27</w:t>
      </w:r>
      <w:r w:rsidRPr="004F38AF">
        <w:rPr>
          <w:rFonts w:ascii="Times New Roman" w:hAnsi="Times New Roman" w:cs="Times New Roman"/>
          <w:sz w:val="24"/>
          <w:szCs w:val="24"/>
          <w:shd w:val="clear" w:color="auto" w:fill="FFFFFF"/>
        </w:rPr>
        <w:t>, 2018.</w:t>
      </w:r>
    </w:p>
    <w:p w:rsidR="004F38AF" w:rsidRPr="004F38AF" w:rsidRDefault="004F38AF" w:rsidP="004F38AF">
      <w:pPr>
        <w:spacing w:after="100" w:afterAutospacing="1" w:line="480" w:lineRule="auto"/>
        <w:ind w:left="720" w:hanging="720"/>
        <w:rPr>
          <w:rFonts w:ascii="Times New Roman" w:hAnsi="Times New Roman" w:cs="Times New Roman"/>
          <w:sz w:val="24"/>
          <w:szCs w:val="24"/>
          <w:shd w:val="clear" w:color="auto" w:fill="FFFFFF"/>
        </w:rPr>
      </w:pPr>
      <w:r w:rsidRPr="004F38AF">
        <w:rPr>
          <w:rFonts w:ascii="Times New Roman" w:hAnsi="Times New Roman" w:cs="Times New Roman"/>
          <w:sz w:val="24"/>
          <w:szCs w:val="24"/>
          <w:shd w:val="clear" w:color="auto" w:fill="FFFFFF"/>
        </w:rPr>
        <w:t>Shafritz, J. M., Russell, E. W., &amp; Borick, C. (2015). </w:t>
      </w:r>
      <w:r w:rsidRPr="004F38AF">
        <w:rPr>
          <w:rFonts w:ascii="Times New Roman" w:hAnsi="Times New Roman" w:cs="Times New Roman"/>
          <w:i/>
          <w:iCs/>
          <w:sz w:val="24"/>
          <w:szCs w:val="24"/>
          <w:shd w:val="clear" w:color="auto" w:fill="FFFFFF"/>
        </w:rPr>
        <w:t>Introducing public administration</w:t>
      </w:r>
      <w:r w:rsidRPr="004F38AF">
        <w:rPr>
          <w:rFonts w:ascii="Times New Roman" w:hAnsi="Times New Roman" w:cs="Times New Roman"/>
          <w:sz w:val="24"/>
          <w:szCs w:val="24"/>
          <w:shd w:val="clear" w:color="auto" w:fill="FFFFFF"/>
        </w:rPr>
        <w:t>. Routledge.</w:t>
      </w:r>
    </w:p>
    <w:sectPr w:rsidR="004F38AF" w:rsidRPr="004F38A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409D" w:rsidRDefault="006A409D" w:rsidP="006A409D">
      <w:pPr>
        <w:spacing w:after="0" w:line="240" w:lineRule="auto"/>
      </w:pPr>
      <w:r>
        <w:separator/>
      </w:r>
    </w:p>
  </w:endnote>
  <w:endnote w:type="continuationSeparator" w:id="0">
    <w:p w:rsidR="006A409D" w:rsidRDefault="006A409D" w:rsidP="006A40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409D" w:rsidRDefault="006A409D" w:rsidP="006A409D">
      <w:pPr>
        <w:spacing w:after="0" w:line="240" w:lineRule="auto"/>
      </w:pPr>
      <w:r>
        <w:separator/>
      </w:r>
    </w:p>
  </w:footnote>
  <w:footnote w:type="continuationSeparator" w:id="0">
    <w:p w:rsidR="006A409D" w:rsidRDefault="006A409D" w:rsidP="006A40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566646968"/>
      <w:docPartObj>
        <w:docPartGallery w:val="Page Numbers (Top of Page)"/>
        <w:docPartUnique/>
      </w:docPartObj>
    </w:sdtPr>
    <w:sdtEndPr>
      <w:rPr>
        <w:noProof/>
      </w:rPr>
    </w:sdtEndPr>
    <w:sdtContent>
      <w:p w:rsidR="006A409D" w:rsidRPr="006A409D" w:rsidRDefault="006A409D">
        <w:pPr>
          <w:pStyle w:val="Header"/>
          <w:jc w:val="right"/>
          <w:rPr>
            <w:rFonts w:ascii="Times New Roman" w:hAnsi="Times New Roman" w:cs="Times New Roman"/>
            <w:sz w:val="24"/>
            <w:szCs w:val="24"/>
          </w:rPr>
        </w:pPr>
        <w:r w:rsidRPr="006A409D">
          <w:rPr>
            <w:rFonts w:ascii="Times New Roman" w:hAnsi="Times New Roman" w:cs="Times New Roman"/>
            <w:sz w:val="24"/>
            <w:szCs w:val="24"/>
          </w:rPr>
          <w:t>PUBLIC ADMINISTRATION</w:t>
        </w:r>
        <w:r>
          <w:rPr>
            <w:rFonts w:ascii="Times New Roman" w:hAnsi="Times New Roman" w:cs="Times New Roman"/>
            <w:sz w:val="24"/>
            <w:szCs w:val="24"/>
          </w:rPr>
          <w:t xml:space="preserve">                                                                                                        </w:t>
        </w:r>
        <w:r w:rsidRPr="006A409D">
          <w:rPr>
            <w:rFonts w:ascii="Times New Roman" w:hAnsi="Times New Roman" w:cs="Times New Roman"/>
            <w:sz w:val="24"/>
            <w:szCs w:val="24"/>
          </w:rPr>
          <w:fldChar w:fldCharType="begin"/>
        </w:r>
        <w:r w:rsidRPr="006A409D">
          <w:rPr>
            <w:rFonts w:ascii="Times New Roman" w:hAnsi="Times New Roman" w:cs="Times New Roman"/>
            <w:sz w:val="24"/>
            <w:szCs w:val="24"/>
          </w:rPr>
          <w:instrText xml:space="preserve"> PAGE   \* MERGEFORMAT </w:instrText>
        </w:r>
        <w:r w:rsidRPr="006A409D">
          <w:rPr>
            <w:rFonts w:ascii="Times New Roman" w:hAnsi="Times New Roman" w:cs="Times New Roman"/>
            <w:sz w:val="24"/>
            <w:szCs w:val="24"/>
          </w:rPr>
          <w:fldChar w:fldCharType="separate"/>
        </w:r>
        <w:r w:rsidR="004F38AF">
          <w:rPr>
            <w:rFonts w:ascii="Times New Roman" w:hAnsi="Times New Roman" w:cs="Times New Roman"/>
            <w:noProof/>
            <w:sz w:val="24"/>
            <w:szCs w:val="24"/>
          </w:rPr>
          <w:t>1</w:t>
        </w:r>
        <w:r w:rsidRPr="006A409D">
          <w:rPr>
            <w:rFonts w:ascii="Times New Roman" w:hAnsi="Times New Roman" w:cs="Times New Roman"/>
            <w:noProof/>
            <w:sz w:val="24"/>
            <w:szCs w:val="24"/>
          </w:rPr>
          <w:fldChar w:fldCharType="end"/>
        </w:r>
      </w:p>
    </w:sdtContent>
  </w:sdt>
  <w:p w:rsidR="006A409D" w:rsidRDefault="006A409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6100"/>
    <w:rsid w:val="002325FC"/>
    <w:rsid w:val="002561F2"/>
    <w:rsid w:val="003F6100"/>
    <w:rsid w:val="004F175F"/>
    <w:rsid w:val="004F38AF"/>
    <w:rsid w:val="00645F2E"/>
    <w:rsid w:val="006A409D"/>
    <w:rsid w:val="0081669F"/>
    <w:rsid w:val="008E5DFF"/>
    <w:rsid w:val="00B049EE"/>
    <w:rsid w:val="00B50753"/>
    <w:rsid w:val="00BB649A"/>
    <w:rsid w:val="00BF3112"/>
    <w:rsid w:val="00CD1CB0"/>
    <w:rsid w:val="00E030EF"/>
    <w:rsid w:val="00EF4B4F"/>
    <w:rsid w:val="00F736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98326"/>
  <w15:chartTrackingRefBased/>
  <w15:docId w15:val="{CD188E8D-5246-4C39-A627-1E4A2C37B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40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409D"/>
  </w:style>
  <w:style w:type="paragraph" w:styleId="Footer">
    <w:name w:val="footer"/>
    <w:basedOn w:val="Normal"/>
    <w:link w:val="FooterChar"/>
    <w:uiPriority w:val="99"/>
    <w:unhideWhenUsed/>
    <w:rsid w:val="006A40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409D"/>
  </w:style>
  <w:style w:type="character" w:styleId="Emphasis">
    <w:name w:val="Emphasis"/>
    <w:basedOn w:val="DefaultParagraphFont"/>
    <w:uiPriority w:val="20"/>
    <w:qFormat/>
    <w:rsid w:val="006A409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693</TotalTime>
  <Pages>4</Pages>
  <Words>678</Words>
  <Characters>3865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2020-05-01T17:31:00Z</dcterms:created>
  <dcterms:modified xsi:type="dcterms:W3CDTF">2020-05-02T05:56:00Z</dcterms:modified>
</cp:coreProperties>
</file>